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2D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La collectivité régionale est compétente en matière de formation professionnelle des demandeurs d’emploi et </w:t>
      </w:r>
      <w:r w:rsidR="007D6B91" w:rsidRPr="007D6B91">
        <w:rPr>
          <w:rFonts w:ascii="Verdana" w:hAnsi="Verdana"/>
          <w:sz w:val="20"/>
          <w:szCs w:val="20"/>
        </w:rPr>
        <w:t xml:space="preserve">de </w:t>
      </w:r>
      <w:r w:rsidRPr="007D6B91">
        <w:rPr>
          <w:rFonts w:ascii="Verdana" w:hAnsi="Verdana"/>
          <w:sz w:val="20"/>
          <w:szCs w:val="20"/>
        </w:rPr>
        <w:t xml:space="preserve">coordination des achats publics de formation. </w:t>
      </w:r>
      <w:r w:rsidR="007D6B91">
        <w:rPr>
          <w:rFonts w:ascii="Verdana" w:hAnsi="Verdana"/>
          <w:sz w:val="20"/>
          <w:szCs w:val="20"/>
        </w:rPr>
        <w:t>U</w:t>
      </w:r>
      <w:r w:rsidRPr="007D6B91">
        <w:rPr>
          <w:rFonts w:ascii="Verdana" w:hAnsi="Verdana"/>
          <w:sz w:val="20"/>
          <w:szCs w:val="20"/>
        </w:rPr>
        <w:t xml:space="preserve">ne politique volontariste </w:t>
      </w:r>
      <w:r w:rsidR="007D6B91">
        <w:rPr>
          <w:rFonts w:ascii="Verdana" w:hAnsi="Verdana"/>
          <w:sz w:val="20"/>
          <w:szCs w:val="20"/>
        </w:rPr>
        <w:t xml:space="preserve">sur les savoirs de base </w:t>
      </w:r>
      <w:r w:rsidRPr="007D6B91">
        <w:rPr>
          <w:rFonts w:ascii="Verdana" w:hAnsi="Verdana"/>
          <w:sz w:val="20"/>
          <w:szCs w:val="20"/>
        </w:rPr>
        <w:t>a</w:t>
      </w:r>
      <w:r w:rsidR="007D6B91">
        <w:rPr>
          <w:rFonts w:ascii="Verdana" w:hAnsi="Verdana"/>
          <w:sz w:val="20"/>
          <w:szCs w:val="20"/>
        </w:rPr>
        <w:t xml:space="preserve"> également</w:t>
      </w:r>
      <w:r w:rsidRPr="007D6B91">
        <w:rPr>
          <w:rFonts w:ascii="Verdana" w:hAnsi="Verdana"/>
          <w:sz w:val="20"/>
          <w:szCs w:val="20"/>
        </w:rPr>
        <w:t xml:space="preserve"> été développée par la Région Centre – Val de Loire dès 2004</w:t>
      </w:r>
      <w:r w:rsidR="007D6B91">
        <w:rPr>
          <w:rFonts w:ascii="Verdana" w:hAnsi="Verdana"/>
          <w:sz w:val="20"/>
          <w:szCs w:val="20"/>
        </w:rPr>
        <w:t>, contribuant</w:t>
      </w:r>
      <w:r w:rsidRPr="007D6B91">
        <w:rPr>
          <w:rFonts w:ascii="Verdana" w:hAnsi="Verdana"/>
          <w:sz w:val="20"/>
          <w:szCs w:val="20"/>
        </w:rPr>
        <w:t xml:space="preserve"> </w:t>
      </w:r>
      <w:r w:rsidR="006D6ED2">
        <w:rPr>
          <w:rFonts w:ascii="Verdana" w:hAnsi="Verdana"/>
          <w:sz w:val="20"/>
          <w:szCs w:val="20"/>
        </w:rPr>
        <w:t>à lutter</w:t>
      </w:r>
      <w:r w:rsidRPr="007D6B91">
        <w:rPr>
          <w:rFonts w:ascii="Verdana" w:hAnsi="Verdana"/>
          <w:sz w:val="20"/>
          <w:szCs w:val="20"/>
        </w:rPr>
        <w:t xml:space="preserve"> contre l’illettrisme.</w:t>
      </w:r>
      <w:r w:rsidR="007D6B91">
        <w:rPr>
          <w:rFonts w:ascii="Verdana" w:hAnsi="Verdana"/>
          <w:sz w:val="20"/>
          <w:szCs w:val="20"/>
        </w:rPr>
        <w:t xml:space="preserve"> </w:t>
      </w:r>
      <w:r w:rsidR="007D6B91" w:rsidRPr="007D6B91">
        <w:rPr>
          <w:rFonts w:ascii="Verdana" w:hAnsi="Verdana"/>
          <w:b/>
          <w:sz w:val="20"/>
          <w:szCs w:val="20"/>
        </w:rPr>
        <w:t>L</w:t>
      </w:r>
      <w:r w:rsidRPr="007D6B91">
        <w:rPr>
          <w:rFonts w:ascii="Verdana" w:hAnsi="Verdana"/>
          <w:b/>
          <w:sz w:val="20"/>
          <w:szCs w:val="20"/>
        </w:rPr>
        <w:t xml:space="preserve">e Programme Régional de Formation (PRF) 2017-2020 se compose </w:t>
      </w:r>
      <w:r w:rsidR="007D6B91" w:rsidRPr="007D6B91">
        <w:rPr>
          <w:rFonts w:ascii="Verdana" w:hAnsi="Verdana"/>
          <w:b/>
          <w:sz w:val="20"/>
          <w:szCs w:val="20"/>
        </w:rPr>
        <w:t xml:space="preserve">ainsi </w:t>
      </w:r>
      <w:r w:rsidRPr="007D6B91">
        <w:rPr>
          <w:rFonts w:ascii="Verdana" w:hAnsi="Verdana"/>
          <w:b/>
          <w:sz w:val="20"/>
          <w:szCs w:val="20"/>
        </w:rPr>
        <w:t>de deux briques </w:t>
      </w:r>
      <w:r w:rsidR="006D6ED2">
        <w:rPr>
          <w:rFonts w:ascii="Verdana" w:hAnsi="Verdana"/>
          <w:b/>
          <w:sz w:val="20"/>
          <w:szCs w:val="20"/>
        </w:rPr>
        <w:t xml:space="preserve">d’achats collectifs </w:t>
      </w:r>
      <w:r w:rsidRPr="007D6B91">
        <w:rPr>
          <w:rFonts w:ascii="Verdana" w:hAnsi="Verdana"/>
          <w:b/>
          <w:sz w:val="20"/>
          <w:szCs w:val="20"/>
        </w:rPr>
        <w:t>: les Parcours Métiers et les Visas Libres Savoirs</w:t>
      </w:r>
      <w:r w:rsidRPr="007D6B91">
        <w:rPr>
          <w:rFonts w:ascii="Verdana" w:hAnsi="Verdana"/>
          <w:sz w:val="20"/>
          <w:szCs w:val="20"/>
        </w:rPr>
        <w:t xml:space="preserve">. </w:t>
      </w:r>
    </w:p>
    <w:p w:rsidR="00940A2D" w:rsidRDefault="00940A2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5E9D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Par ailleurs, la Région finance pour les demandeurs d’emploi l’accès à des places de formations individuelles qui ne sont pas achetées dans le PRF, au </w:t>
      </w:r>
      <w:r w:rsidRPr="00A17528">
        <w:rPr>
          <w:rFonts w:ascii="Verdana" w:hAnsi="Verdana"/>
          <w:sz w:val="20"/>
          <w:szCs w:val="20"/>
        </w:rPr>
        <w:t>travers du dispositif « </w:t>
      </w:r>
      <w:r w:rsidRPr="00A17528">
        <w:rPr>
          <w:rFonts w:ascii="Verdana" w:hAnsi="Verdana"/>
          <w:b/>
          <w:sz w:val="20"/>
          <w:szCs w:val="20"/>
        </w:rPr>
        <w:t>Chèque formation</w:t>
      </w:r>
      <w:r w:rsidRPr="00A17528">
        <w:rPr>
          <w:rFonts w:ascii="Verdana" w:hAnsi="Verdana"/>
          <w:sz w:val="20"/>
          <w:szCs w:val="20"/>
        </w:rPr>
        <w:t xml:space="preserve"> » dont la gestion est confiée à Pôle emploi. Les prescripteurs </w:t>
      </w:r>
      <w:r w:rsidRPr="007D6B91">
        <w:rPr>
          <w:rFonts w:ascii="Verdana" w:hAnsi="Verdana"/>
          <w:sz w:val="20"/>
          <w:szCs w:val="20"/>
        </w:rPr>
        <w:t>sur le chèque formation sont les structures suivantes : Pôle emploi, la Mission locale ou Cap Emploi (</w:t>
      </w:r>
      <w:hyperlink r:id="rId9" w:history="1">
        <w:r w:rsidR="008A1CA3" w:rsidRPr="008A1CA3">
          <w:rPr>
            <w:rStyle w:val="Lienhypertexte"/>
            <w:rFonts w:ascii="Verdana" w:hAnsi="Verdana"/>
            <w:sz w:val="20"/>
            <w:szCs w:val="20"/>
          </w:rPr>
          <w:t>règlement du chèque formation en ligne</w:t>
        </w:r>
      </w:hyperlink>
      <w:r w:rsidRPr="007D6B91">
        <w:rPr>
          <w:rFonts w:ascii="Verdana" w:hAnsi="Verdana"/>
          <w:sz w:val="20"/>
          <w:szCs w:val="20"/>
        </w:rPr>
        <w:t>).</w:t>
      </w:r>
    </w:p>
    <w:p w:rsidR="0058357D" w:rsidRPr="00042294" w:rsidRDefault="0058357D" w:rsidP="00727DC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40A2D" w:rsidRDefault="00940A2D" w:rsidP="00727DC8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7D6B91" w:rsidRPr="007D6B91" w:rsidRDefault="00940A2D" w:rsidP="00727DC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1 - </w:t>
      </w:r>
      <w:r w:rsidR="007D6B91" w:rsidRPr="007D6B91">
        <w:rPr>
          <w:rFonts w:ascii="Verdana" w:hAnsi="Verdana"/>
          <w:b/>
          <w:sz w:val="20"/>
          <w:szCs w:val="20"/>
          <w:u w:val="single"/>
        </w:rPr>
        <w:t>CARACTERISTIQUES TECHNIQUES DE L’ACHAT REGIONAL</w:t>
      </w:r>
      <w:r w:rsidR="00A17528">
        <w:rPr>
          <w:rFonts w:ascii="Verdana" w:hAnsi="Verdana"/>
          <w:b/>
          <w:sz w:val="20"/>
          <w:szCs w:val="20"/>
          <w:u w:val="single"/>
        </w:rPr>
        <w:t xml:space="preserve"> 2017-2020</w:t>
      </w:r>
      <w:r w:rsidR="007D6B91" w:rsidRPr="007D6B91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7D6B91" w:rsidRDefault="007D6B91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5E9D" w:rsidRPr="007D6B91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Pour </w:t>
      </w:r>
      <w:r w:rsidRPr="007D6B91">
        <w:rPr>
          <w:rFonts w:ascii="Verdana" w:hAnsi="Verdana"/>
          <w:b/>
          <w:sz w:val="20"/>
          <w:szCs w:val="20"/>
        </w:rPr>
        <w:t>identifier les besoins de formation</w:t>
      </w:r>
      <w:r w:rsidRPr="007D6B91">
        <w:rPr>
          <w:rFonts w:ascii="Verdana" w:hAnsi="Verdana"/>
          <w:sz w:val="20"/>
          <w:szCs w:val="20"/>
        </w:rPr>
        <w:t xml:space="preserve">, la Région </w:t>
      </w:r>
      <w:r w:rsidR="00A17528">
        <w:rPr>
          <w:rFonts w:ascii="Verdana" w:hAnsi="Verdana"/>
          <w:sz w:val="20"/>
          <w:szCs w:val="20"/>
        </w:rPr>
        <w:t>s’est notamment appuyée</w:t>
      </w:r>
      <w:r w:rsidRPr="007D6B91">
        <w:rPr>
          <w:rFonts w:ascii="Verdana" w:hAnsi="Verdana"/>
          <w:sz w:val="20"/>
          <w:szCs w:val="20"/>
        </w:rPr>
        <w:t xml:space="preserve"> sur :</w:t>
      </w:r>
    </w:p>
    <w:p w:rsidR="00BE5E9D" w:rsidRPr="007D6B91" w:rsidRDefault="00BE5E9D" w:rsidP="008A1CA3">
      <w:pPr>
        <w:pStyle w:val="Paragraphedeliste"/>
        <w:numPr>
          <w:ilvl w:val="0"/>
          <w:numId w:val="7"/>
        </w:numPr>
        <w:spacing w:after="0" w:line="240" w:lineRule="auto"/>
        <w:ind w:hanging="218"/>
        <w:jc w:val="both"/>
        <w:rPr>
          <w:rFonts w:ascii="Verdana" w:hAnsi="Verdana"/>
          <w:b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des analyses sectorielles, réalisées en lien avec l’Observatoire Régional de l’Emploi et de la Formation ;</w:t>
      </w:r>
    </w:p>
    <w:p w:rsidR="00BE5E9D" w:rsidRPr="007D6B91" w:rsidRDefault="00BE5E9D" w:rsidP="008A1CA3">
      <w:pPr>
        <w:pStyle w:val="Paragraphedeliste"/>
        <w:numPr>
          <w:ilvl w:val="0"/>
          <w:numId w:val="7"/>
        </w:numPr>
        <w:spacing w:after="0" w:line="240" w:lineRule="auto"/>
        <w:ind w:hanging="218"/>
        <w:jc w:val="both"/>
        <w:rPr>
          <w:rFonts w:ascii="Verdana" w:hAnsi="Verdana"/>
          <w:b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la recherche de complémentarité avec l’offre de formation professionnelle initiale (scolaire et par apprentissage), menée dans le cadre de concertations portées par la Région avec l’Etat (Rectorat et </w:t>
      </w:r>
      <w:proofErr w:type="spellStart"/>
      <w:r w:rsidRPr="007D6B91">
        <w:rPr>
          <w:rFonts w:ascii="Verdana" w:hAnsi="Verdana"/>
          <w:sz w:val="20"/>
          <w:szCs w:val="20"/>
        </w:rPr>
        <w:t>Direccte</w:t>
      </w:r>
      <w:proofErr w:type="spellEnd"/>
      <w:r w:rsidRPr="007D6B91">
        <w:rPr>
          <w:rFonts w:ascii="Verdana" w:hAnsi="Verdana"/>
          <w:sz w:val="20"/>
          <w:szCs w:val="20"/>
        </w:rPr>
        <w:t>), les partenaires sociaux, les branches professionnelles, les OPCA et Pôle emploi ;</w:t>
      </w:r>
    </w:p>
    <w:p w:rsidR="00BE5E9D" w:rsidRPr="007D6B91" w:rsidRDefault="00BE5E9D" w:rsidP="008A1CA3">
      <w:pPr>
        <w:pStyle w:val="Paragraphedeliste"/>
        <w:numPr>
          <w:ilvl w:val="0"/>
          <w:numId w:val="7"/>
        </w:numPr>
        <w:spacing w:after="0" w:line="240" w:lineRule="auto"/>
        <w:ind w:hanging="218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des échanges territoriaux avec les acteurs emploi-formation (Mai</w:t>
      </w:r>
      <w:r w:rsidR="00A17528">
        <w:rPr>
          <w:rFonts w:ascii="Verdana" w:hAnsi="Verdana"/>
          <w:sz w:val="20"/>
          <w:szCs w:val="20"/>
        </w:rPr>
        <w:t>sons de l’emploi, agences d’inté</w:t>
      </w:r>
      <w:r w:rsidRPr="007D6B91">
        <w:rPr>
          <w:rFonts w:ascii="Verdana" w:hAnsi="Verdana"/>
          <w:sz w:val="20"/>
          <w:szCs w:val="20"/>
        </w:rPr>
        <w:t xml:space="preserve">rim, Pôle Emploi, Missions locales,…) notamment dans le cadre de </w:t>
      </w:r>
      <w:r w:rsidRPr="007D6B91">
        <w:rPr>
          <w:rFonts w:ascii="Verdana" w:hAnsi="Verdana"/>
          <w:b/>
          <w:sz w:val="20"/>
          <w:szCs w:val="20"/>
        </w:rPr>
        <w:t>Commissions formation</w:t>
      </w:r>
      <w:r w:rsidRPr="007D6B91">
        <w:rPr>
          <w:rFonts w:ascii="Verdana" w:hAnsi="Verdana"/>
          <w:sz w:val="20"/>
          <w:szCs w:val="20"/>
        </w:rPr>
        <w:t xml:space="preserve">, animées par le Service Animation territoriale de la Direction de la Formation professionnelle (cf. </w:t>
      </w:r>
      <w:r w:rsidR="00A17528">
        <w:rPr>
          <w:rFonts w:ascii="Verdana" w:hAnsi="Verdana"/>
          <w:sz w:val="20"/>
          <w:szCs w:val="20"/>
        </w:rPr>
        <w:t xml:space="preserve">fiche technique </w:t>
      </w:r>
      <w:r w:rsidR="00C66229">
        <w:rPr>
          <w:rFonts w:ascii="Verdana" w:hAnsi="Verdana"/>
          <w:sz w:val="20"/>
          <w:szCs w:val="20"/>
        </w:rPr>
        <w:t>« </w:t>
      </w:r>
      <w:r w:rsidRPr="007D6B91">
        <w:rPr>
          <w:rFonts w:ascii="Verdana" w:hAnsi="Verdana"/>
          <w:sz w:val="20"/>
          <w:szCs w:val="20"/>
        </w:rPr>
        <w:t>contacts</w:t>
      </w:r>
      <w:r w:rsidR="00C66229">
        <w:rPr>
          <w:rFonts w:ascii="Verdana" w:hAnsi="Verdana"/>
          <w:sz w:val="20"/>
          <w:szCs w:val="20"/>
        </w:rPr>
        <w:t> ressources »</w:t>
      </w:r>
      <w:r w:rsidRPr="007D6B91">
        <w:rPr>
          <w:rFonts w:ascii="Verdana" w:hAnsi="Verdana"/>
          <w:sz w:val="20"/>
          <w:szCs w:val="20"/>
        </w:rPr>
        <w:t>).</w:t>
      </w:r>
    </w:p>
    <w:p w:rsidR="00BE5E9D" w:rsidRPr="007D6B91" w:rsidRDefault="00BE5E9D" w:rsidP="00727DC8">
      <w:pPr>
        <w:pStyle w:val="Paragraphedeliste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BE5E9D" w:rsidRPr="007D6B91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Au regard de ces besoins identifiés au plus près des bassins d’emploi et de ses propres orientations politiques, la Région a défini une </w:t>
      </w:r>
      <w:r w:rsidRPr="007D6B91">
        <w:rPr>
          <w:rFonts w:ascii="Verdana" w:hAnsi="Verdana"/>
          <w:b/>
          <w:sz w:val="20"/>
          <w:szCs w:val="20"/>
        </w:rPr>
        <w:t xml:space="preserve">commande </w:t>
      </w:r>
      <w:r w:rsidRPr="007D6B91">
        <w:rPr>
          <w:rFonts w:ascii="Verdana" w:hAnsi="Verdana"/>
          <w:sz w:val="20"/>
          <w:szCs w:val="20"/>
        </w:rPr>
        <w:t xml:space="preserve">de formation divisée en </w:t>
      </w:r>
      <w:r w:rsidRPr="007D6B91">
        <w:rPr>
          <w:rFonts w:ascii="Verdana" w:hAnsi="Verdana"/>
          <w:b/>
          <w:sz w:val="20"/>
          <w:szCs w:val="20"/>
        </w:rPr>
        <w:t>lots</w:t>
      </w:r>
      <w:r w:rsidRPr="007D6B91">
        <w:rPr>
          <w:rFonts w:ascii="Verdana" w:hAnsi="Verdana"/>
          <w:sz w:val="20"/>
          <w:szCs w:val="20"/>
        </w:rPr>
        <w:t xml:space="preserve"> répartis sur les 6 départements. Chaque lot précise les caractéristiques de l’action commandée : notamment la catégorie d’action, la certification visée, un nombre indicatif de stagiaires, un/des lieu(x) obligatoire(s) et éventuellement un/des </w:t>
      </w:r>
      <w:proofErr w:type="gramStart"/>
      <w:r w:rsidRPr="007D6B91">
        <w:rPr>
          <w:rFonts w:ascii="Verdana" w:hAnsi="Verdana"/>
          <w:sz w:val="20"/>
          <w:szCs w:val="20"/>
        </w:rPr>
        <w:t>lieu(</w:t>
      </w:r>
      <w:proofErr w:type="gramEnd"/>
      <w:r w:rsidRPr="007D6B91">
        <w:rPr>
          <w:rFonts w:ascii="Verdana" w:hAnsi="Verdana"/>
          <w:sz w:val="20"/>
          <w:szCs w:val="20"/>
        </w:rPr>
        <w:t>x) facultatif(s), etc.</w:t>
      </w:r>
    </w:p>
    <w:p w:rsidR="00727DC8" w:rsidRDefault="00727DC8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L’achat se fait au travers de </w:t>
      </w:r>
      <w:r w:rsidRPr="007D6B91">
        <w:rPr>
          <w:rFonts w:ascii="Verdana" w:hAnsi="Verdana"/>
          <w:b/>
          <w:sz w:val="20"/>
          <w:szCs w:val="20"/>
        </w:rPr>
        <w:t>marchés publics</w:t>
      </w:r>
      <w:r w:rsidRPr="007D6B91">
        <w:rPr>
          <w:rFonts w:ascii="Verdana" w:hAnsi="Verdana"/>
          <w:sz w:val="20"/>
          <w:szCs w:val="20"/>
        </w:rPr>
        <w:t xml:space="preserve"> (mise en concurrence des opérateurs dans le cadre de consultations) qui </w:t>
      </w:r>
      <w:r>
        <w:rPr>
          <w:rFonts w:ascii="Verdana" w:hAnsi="Verdana"/>
          <w:sz w:val="20"/>
          <w:szCs w:val="20"/>
        </w:rPr>
        <w:t xml:space="preserve">prennent la forme </w:t>
      </w:r>
      <w:r w:rsidRPr="005A698B">
        <w:rPr>
          <w:rFonts w:ascii="Verdana" w:hAnsi="Verdana"/>
          <w:b/>
          <w:sz w:val="20"/>
          <w:szCs w:val="20"/>
        </w:rPr>
        <w:t>d’accords-cadres</w:t>
      </w:r>
      <w:r w:rsidRPr="005A698B">
        <w:rPr>
          <w:rFonts w:ascii="Verdana" w:hAnsi="Verdana"/>
          <w:sz w:val="20"/>
          <w:szCs w:val="20"/>
        </w:rPr>
        <w:t>.</w:t>
      </w:r>
      <w:r w:rsidR="00C66229">
        <w:rPr>
          <w:rFonts w:ascii="Verdana" w:hAnsi="Verdana"/>
          <w:sz w:val="20"/>
          <w:szCs w:val="20"/>
        </w:rPr>
        <w:t xml:space="preserve"> </w:t>
      </w:r>
      <w:r w:rsidR="00C66229">
        <w:rPr>
          <w:rFonts w:ascii="Verdana" w:hAnsi="Verdana"/>
          <w:b/>
          <w:sz w:val="20"/>
          <w:szCs w:val="20"/>
        </w:rPr>
        <w:t>Ceux-ci</w:t>
      </w:r>
      <w:r>
        <w:rPr>
          <w:rFonts w:ascii="Verdana" w:hAnsi="Verdana"/>
          <w:b/>
          <w:sz w:val="20"/>
          <w:szCs w:val="20"/>
        </w:rPr>
        <w:t xml:space="preserve"> sont conclus pour une durée de 1 an et peuvent être renouvelés 3 fois par période de 1 an. Ils sont conclus sans montant minimum ni montant maximum de commande pour chaque période de reconductions.</w:t>
      </w:r>
      <w:r w:rsidR="00C6622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Un accord cadre peut être notifié à un seul attributaire (mono attributaire) ou plusieurs attributaires (multi-attributaires).</w:t>
      </w: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</w:t>
      </w:r>
      <w:r w:rsidR="00164A82" w:rsidRPr="00883A4E">
        <w:rPr>
          <w:rFonts w:ascii="Verdana" w:hAnsi="Verdana"/>
          <w:sz w:val="20"/>
          <w:szCs w:val="20"/>
        </w:rPr>
        <w:t>le</w:t>
      </w:r>
      <w:r w:rsidR="00164A82">
        <w:rPr>
          <w:rFonts w:ascii="Verdana" w:hAnsi="Verdana"/>
          <w:sz w:val="20"/>
          <w:szCs w:val="20"/>
        </w:rPr>
        <w:t xml:space="preserve"> </w:t>
      </w:r>
      <w:r w:rsidR="00940A2D">
        <w:rPr>
          <w:rFonts w:ascii="Verdana" w:hAnsi="Verdana"/>
          <w:sz w:val="20"/>
          <w:szCs w:val="20"/>
        </w:rPr>
        <w:t xml:space="preserve">PRF </w:t>
      </w:r>
      <w:r>
        <w:rPr>
          <w:rFonts w:ascii="Verdana" w:hAnsi="Verdana"/>
          <w:sz w:val="20"/>
          <w:szCs w:val="20"/>
        </w:rPr>
        <w:t>2017-2020, une consultation alloti</w:t>
      </w:r>
      <w:r w:rsidR="00EE0FD8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en plusieurs lots a été lancée du</w:t>
      </w:r>
      <w:r w:rsidRPr="007D6B91">
        <w:rPr>
          <w:rFonts w:ascii="Verdana" w:hAnsi="Verdana"/>
          <w:sz w:val="20"/>
          <w:szCs w:val="20"/>
        </w:rPr>
        <w:t xml:space="preserve"> 12 mai </w:t>
      </w:r>
      <w:r w:rsidRPr="007D6B91">
        <w:rPr>
          <w:rFonts w:ascii="Verdana" w:hAnsi="Verdana"/>
          <w:color w:val="000000" w:themeColor="text1"/>
          <w:sz w:val="20"/>
          <w:szCs w:val="20"/>
        </w:rPr>
        <w:t xml:space="preserve">au 29 juin </w:t>
      </w:r>
      <w:r w:rsidRPr="007D6B91">
        <w:rPr>
          <w:rFonts w:ascii="Verdana" w:hAnsi="Verdana"/>
          <w:sz w:val="20"/>
          <w:szCs w:val="20"/>
        </w:rPr>
        <w:t>2016</w:t>
      </w:r>
      <w:r>
        <w:rPr>
          <w:rFonts w:ascii="Verdana" w:hAnsi="Verdana"/>
          <w:sz w:val="20"/>
          <w:szCs w:val="20"/>
        </w:rPr>
        <w:t>.</w:t>
      </w:r>
      <w:r w:rsidR="00C66229">
        <w:rPr>
          <w:rFonts w:ascii="Verdana" w:hAnsi="Verdana"/>
          <w:sz w:val="20"/>
          <w:szCs w:val="20"/>
        </w:rPr>
        <w:t xml:space="preserve"> </w:t>
      </w:r>
      <w:r w:rsidRPr="007D6B91">
        <w:rPr>
          <w:rFonts w:ascii="Verdana" w:hAnsi="Verdana"/>
          <w:sz w:val="20"/>
          <w:szCs w:val="20"/>
        </w:rPr>
        <w:t xml:space="preserve">A l’issue de </w:t>
      </w:r>
      <w:r>
        <w:rPr>
          <w:rFonts w:ascii="Verdana" w:hAnsi="Verdana"/>
          <w:sz w:val="20"/>
          <w:szCs w:val="20"/>
        </w:rPr>
        <w:t>cette</w:t>
      </w:r>
      <w:r w:rsidRPr="007D6B91">
        <w:rPr>
          <w:rFonts w:ascii="Verdana" w:hAnsi="Verdana"/>
          <w:sz w:val="20"/>
          <w:szCs w:val="20"/>
        </w:rPr>
        <w:t xml:space="preserve"> consultation, </w:t>
      </w:r>
      <w:r>
        <w:rPr>
          <w:rFonts w:ascii="Verdana" w:hAnsi="Verdana"/>
          <w:sz w:val="20"/>
          <w:szCs w:val="20"/>
        </w:rPr>
        <w:t xml:space="preserve">les accords-cadres ont été attribués et notifiés aux organismes de formation, </w:t>
      </w:r>
      <w:r w:rsidR="00C66229">
        <w:rPr>
          <w:rFonts w:ascii="Verdana" w:hAnsi="Verdana"/>
          <w:sz w:val="20"/>
          <w:szCs w:val="20"/>
        </w:rPr>
        <w:t xml:space="preserve">qui </w:t>
      </w:r>
      <w:r>
        <w:rPr>
          <w:rFonts w:ascii="Verdana" w:hAnsi="Verdana"/>
          <w:sz w:val="20"/>
          <w:szCs w:val="20"/>
        </w:rPr>
        <w:t>en d’autres termes, sont « référencés » pour chaque lot.</w:t>
      </w: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6229">
        <w:rPr>
          <w:rFonts w:ascii="Verdana" w:hAnsi="Verdana"/>
          <w:sz w:val="20"/>
          <w:szCs w:val="20"/>
          <w:u w:val="single"/>
        </w:rPr>
        <w:t>Cependant la notification de l’accord cadre ne va</w:t>
      </w:r>
      <w:r w:rsidR="00C66229" w:rsidRPr="00C66229">
        <w:rPr>
          <w:rFonts w:ascii="Verdana" w:hAnsi="Verdana"/>
          <w:sz w:val="20"/>
          <w:szCs w:val="20"/>
          <w:u w:val="single"/>
        </w:rPr>
        <w:t>ut pas commande des prestations</w:t>
      </w:r>
      <w:r w:rsidR="00C66229">
        <w:rPr>
          <w:rFonts w:ascii="Verdana" w:hAnsi="Verdana"/>
          <w:sz w:val="20"/>
          <w:szCs w:val="20"/>
          <w:u w:val="single"/>
        </w:rPr>
        <w:t>,</w:t>
      </w:r>
      <w:r w:rsidR="00C66229" w:rsidRPr="00C66229">
        <w:rPr>
          <w:rFonts w:ascii="Verdana" w:hAnsi="Verdana"/>
          <w:sz w:val="20"/>
          <w:szCs w:val="20"/>
          <w:u w:val="single"/>
        </w:rPr>
        <w:t> et</w:t>
      </w:r>
      <w:r w:rsidRPr="00C66229">
        <w:rPr>
          <w:rFonts w:ascii="Verdana" w:hAnsi="Verdana"/>
          <w:sz w:val="20"/>
          <w:szCs w:val="20"/>
          <w:u w:val="single"/>
        </w:rPr>
        <w:t xml:space="preserve"> </w:t>
      </w:r>
      <w:r w:rsidR="00C66229" w:rsidRPr="00C66229">
        <w:rPr>
          <w:rFonts w:ascii="Verdana" w:hAnsi="Verdana"/>
          <w:sz w:val="20"/>
          <w:szCs w:val="20"/>
          <w:u w:val="single"/>
        </w:rPr>
        <w:t>l</w:t>
      </w:r>
      <w:r w:rsidR="00C66229" w:rsidRPr="00C66229">
        <w:rPr>
          <w:rFonts w:ascii="Verdana" w:hAnsi="Verdana"/>
          <w:i/>
          <w:sz w:val="20"/>
          <w:szCs w:val="20"/>
          <w:u w:val="single"/>
        </w:rPr>
        <w:t>’ensemble du « catalogue de formation » ne se traduit pas systématiquement par un bon de commande chaque année</w:t>
      </w:r>
      <w:r w:rsidR="00C66229">
        <w:rPr>
          <w:rFonts w:ascii="Verdana" w:hAnsi="Verdana"/>
          <w:i/>
          <w:sz w:val="20"/>
          <w:szCs w:val="20"/>
        </w:rPr>
        <w:t>.</w:t>
      </w:r>
      <w:r w:rsidR="00C66229">
        <w:rPr>
          <w:rFonts w:ascii="Verdana" w:hAnsi="Verdana"/>
          <w:sz w:val="20"/>
          <w:szCs w:val="20"/>
        </w:rPr>
        <w:t xml:space="preserve"> </w:t>
      </w:r>
      <w:r w:rsidR="00C66229" w:rsidRPr="00C66229">
        <w:rPr>
          <w:rFonts w:ascii="Verdana" w:hAnsi="Verdana"/>
          <w:b/>
          <w:sz w:val="20"/>
          <w:szCs w:val="20"/>
        </w:rPr>
        <w:t>Lorsque l’achat effectif est décidé par la Région</w:t>
      </w:r>
      <w:r w:rsidR="00C66229">
        <w:rPr>
          <w:rFonts w:ascii="Verdana" w:hAnsi="Verdana"/>
          <w:sz w:val="20"/>
          <w:szCs w:val="20"/>
        </w:rPr>
        <w:t>, deux procédures sont possibles pour que le</w:t>
      </w:r>
      <w:r>
        <w:rPr>
          <w:rFonts w:ascii="Verdana" w:hAnsi="Verdana"/>
          <w:sz w:val="20"/>
          <w:szCs w:val="20"/>
        </w:rPr>
        <w:t xml:space="preserve"> </w:t>
      </w:r>
      <w:r w:rsidRPr="007D6B91">
        <w:rPr>
          <w:rFonts w:ascii="Verdana" w:hAnsi="Verdana"/>
          <w:sz w:val="20"/>
          <w:szCs w:val="20"/>
        </w:rPr>
        <w:t>référencement se tradui</w:t>
      </w:r>
      <w:r w:rsidR="00C66229">
        <w:rPr>
          <w:rFonts w:ascii="Verdana" w:hAnsi="Verdana"/>
          <w:sz w:val="20"/>
          <w:szCs w:val="20"/>
        </w:rPr>
        <w:t>se</w:t>
      </w:r>
      <w:r w:rsidRPr="007D6B91">
        <w:rPr>
          <w:rFonts w:ascii="Verdana" w:hAnsi="Verdana"/>
          <w:sz w:val="20"/>
          <w:szCs w:val="20"/>
        </w:rPr>
        <w:t xml:space="preserve"> en action de formation</w:t>
      </w:r>
      <w:r w:rsidR="00C662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</w:p>
    <w:p w:rsidR="007C6ED2" w:rsidRDefault="007C6ED2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E9F" w:rsidRPr="008A1CA3" w:rsidRDefault="00AF4E9F" w:rsidP="008A1CA3">
      <w:pPr>
        <w:pStyle w:val="Paragraphedeliste"/>
        <w:numPr>
          <w:ilvl w:val="0"/>
          <w:numId w:val="16"/>
        </w:numPr>
        <w:spacing w:after="0" w:line="240" w:lineRule="auto"/>
        <w:ind w:left="426" w:hanging="207"/>
        <w:jc w:val="both"/>
        <w:rPr>
          <w:rFonts w:ascii="Verdana" w:hAnsi="Verdana"/>
          <w:sz w:val="20"/>
          <w:szCs w:val="20"/>
        </w:rPr>
      </w:pPr>
      <w:r w:rsidRPr="008A1CA3">
        <w:rPr>
          <w:rFonts w:ascii="Verdana" w:hAnsi="Verdana"/>
          <w:sz w:val="20"/>
          <w:szCs w:val="20"/>
        </w:rPr>
        <w:t xml:space="preserve">soit un </w:t>
      </w:r>
      <w:r w:rsidRPr="008A1CA3">
        <w:rPr>
          <w:rFonts w:ascii="Verdana" w:hAnsi="Verdana"/>
          <w:b/>
          <w:sz w:val="20"/>
          <w:szCs w:val="20"/>
        </w:rPr>
        <w:t>bon de commande</w:t>
      </w:r>
      <w:r w:rsidRPr="008A1CA3">
        <w:rPr>
          <w:rFonts w:ascii="Verdana" w:hAnsi="Verdana"/>
          <w:sz w:val="20"/>
          <w:szCs w:val="20"/>
        </w:rPr>
        <w:t xml:space="preserve"> </w:t>
      </w:r>
      <w:r w:rsidR="00C66229" w:rsidRPr="008A1CA3">
        <w:rPr>
          <w:rFonts w:ascii="Verdana" w:hAnsi="Verdana"/>
          <w:sz w:val="20"/>
          <w:szCs w:val="20"/>
        </w:rPr>
        <w:t xml:space="preserve">est </w:t>
      </w:r>
      <w:r w:rsidRPr="008A1CA3">
        <w:rPr>
          <w:rFonts w:ascii="Verdana" w:hAnsi="Verdana"/>
          <w:sz w:val="20"/>
          <w:szCs w:val="20"/>
        </w:rPr>
        <w:t>adressé ultérieurement à l’organisme de formation</w:t>
      </w:r>
      <w:r w:rsidR="00C66229" w:rsidRPr="008A1CA3">
        <w:rPr>
          <w:rFonts w:ascii="Verdana" w:hAnsi="Verdana"/>
          <w:sz w:val="20"/>
          <w:szCs w:val="20"/>
        </w:rPr>
        <w:t>,</w:t>
      </w:r>
      <w:r w:rsidRPr="008A1CA3">
        <w:rPr>
          <w:rFonts w:ascii="Verdana" w:hAnsi="Verdana"/>
          <w:sz w:val="20"/>
          <w:szCs w:val="20"/>
        </w:rPr>
        <w:t xml:space="preserve"> qui </w:t>
      </w:r>
      <w:r w:rsidR="00C66229" w:rsidRPr="008A1CA3">
        <w:rPr>
          <w:rFonts w:ascii="Verdana" w:hAnsi="Verdana"/>
          <w:sz w:val="20"/>
          <w:szCs w:val="20"/>
        </w:rPr>
        <w:t xml:space="preserve">vaut </w:t>
      </w:r>
      <w:r w:rsidRPr="008A1CA3">
        <w:rPr>
          <w:rFonts w:ascii="Verdana" w:hAnsi="Verdana"/>
          <w:sz w:val="20"/>
          <w:szCs w:val="20"/>
        </w:rPr>
        <w:t xml:space="preserve">achat effectif et autorise l’organisme à engager l’action.  </w:t>
      </w:r>
    </w:p>
    <w:p w:rsidR="00AF4E9F" w:rsidRPr="00312B08" w:rsidRDefault="00AF4E9F" w:rsidP="008A1CA3">
      <w:pPr>
        <w:pStyle w:val="Paragraphedeliste"/>
        <w:numPr>
          <w:ilvl w:val="0"/>
          <w:numId w:val="16"/>
        </w:numPr>
        <w:spacing w:after="0" w:line="240" w:lineRule="auto"/>
        <w:ind w:left="426" w:hanging="2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soit </w:t>
      </w:r>
      <w:r w:rsidRPr="00940A2D">
        <w:rPr>
          <w:rFonts w:ascii="Verdana" w:hAnsi="Verdana"/>
          <w:sz w:val="20"/>
          <w:szCs w:val="20"/>
        </w:rPr>
        <w:t xml:space="preserve">une lettre de consultation </w:t>
      </w:r>
      <w:r w:rsidR="00C66229" w:rsidRPr="00940A2D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adressée à l</w:t>
      </w:r>
      <w:r w:rsidRPr="00312B08">
        <w:rPr>
          <w:rFonts w:ascii="Verdana" w:hAnsi="Verdana"/>
          <w:sz w:val="20"/>
          <w:szCs w:val="20"/>
        </w:rPr>
        <w:t xml:space="preserve">’organisme pour mettre en œuvre la formation sur un </w:t>
      </w:r>
      <w:r w:rsidRPr="00C66229">
        <w:rPr>
          <w:rFonts w:ascii="Verdana" w:hAnsi="Verdana"/>
          <w:b/>
          <w:sz w:val="20"/>
          <w:szCs w:val="20"/>
        </w:rPr>
        <w:t>site facultatif</w:t>
      </w:r>
      <w:r w:rsidRPr="00312B08">
        <w:rPr>
          <w:rFonts w:ascii="Verdana" w:hAnsi="Verdana"/>
          <w:sz w:val="20"/>
          <w:szCs w:val="20"/>
        </w:rPr>
        <w:t xml:space="preserve"> ; il </w:t>
      </w:r>
      <w:r w:rsidR="00940A2D">
        <w:rPr>
          <w:rFonts w:ascii="Verdana" w:hAnsi="Verdana"/>
          <w:sz w:val="20"/>
          <w:szCs w:val="20"/>
        </w:rPr>
        <w:t>est</w:t>
      </w:r>
      <w:r w:rsidRPr="00312B08">
        <w:rPr>
          <w:rFonts w:ascii="Verdana" w:hAnsi="Verdana"/>
          <w:sz w:val="20"/>
          <w:szCs w:val="20"/>
        </w:rPr>
        <w:t xml:space="preserve"> alors amené à préciser </w:t>
      </w:r>
      <w:r>
        <w:rPr>
          <w:rFonts w:ascii="Verdana" w:hAnsi="Verdana"/>
          <w:sz w:val="20"/>
          <w:szCs w:val="20"/>
        </w:rPr>
        <w:t xml:space="preserve">l’offre pour laquelle il a été retenu </w:t>
      </w:r>
      <w:r w:rsidRPr="00312B08">
        <w:rPr>
          <w:rFonts w:ascii="Verdana" w:hAnsi="Verdana"/>
          <w:sz w:val="20"/>
          <w:szCs w:val="20"/>
        </w:rPr>
        <w:t>en l’espèce</w:t>
      </w:r>
      <w:r>
        <w:rPr>
          <w:rFonts w:ascii="Verdana" w:hAnsi="Verdana"/>
          <w:sz w:val="20"/>
          <w:szCs w:val="20"/>
        </w:rPr>
        <w:t>. Cette nouvelle consultation prendra la forme</w:t>
      </w:r>
      <w:r w:rsidRPr="00312B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Pr="00312B08">
        <w:rPr>
          <w:rFonts w:ascii="Verdana" w:hAnsi="Verdana"/>
          <w:b/>
          <w:sz w:val="20"/>
          <w:szCs w:val="20"/>
        </w:rPr>
        <w:t xml:space="preserve">marché subséquent </w:t>
      </w:r>
      <w:r>
        <w:rPr>
          <w:rFonts w:ascii="Verdana" w:hAnsi="Verdana"/>
          <w:sz w:val="20"/>
          <w:szCs w:val="20"/>
        </w:rPr>
        <w:t>dont la notification vaudra commande des prestations.</w:t>
      </w:r>
      <w:r w:rsidRPr="00312B08">
        <w:rPr>
          <w:rFonts w:ascii="Verdana" w:hAnsi="Verdana"/>
          <w:sz w:val="20"/>
          <w:szCs w:val="20"/>
        </w:rPr>
        <w:t xml:space="preserve"> </w:t>
      </w:r>
    </w:p>
    <w:p w:rsidR="00AF4E9F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E9F" w:rsidRPr="005A698B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A698B">
        <w:rPr>
          <w:rFonts w:ascii="Verdana" w:hAnsi="Verdana"/>
          <w:b/>
          <w:sz w:val="20"/>
          <w:szCs w:val="20"/>
        </w:rPr>
        <w:lastRenderedPageBreak/>
        <w:t>D’autres consultations</w:t>
      </w:r>
      <w:r>
        <w:rPr>
          <w:rFonts w:ascii="Verdana" w:hAnsi="Verdana"/>
          <w:b/>
          <w:sz w:val="20"/>
          <w:szCs w:val="20"/>
        </w:rPr>
        <w:t xml:space="preserve"> sous forme d’</w:t>
      </w:r>
      <w:r w:rsidR="00EE0FD8">
        <w:rPr>
          <w:rFonts w:ascii="Verdana" w:hAnsi="Verdana"/>
          <w:b/>
          <w:sz w:val="20"/>
          <w:szCs w:val="20"/>
        </w:rPr>
        <w:t>accords-cadres</w:t>
      </w:r>
      <w:r w:rsidRPr="005A698B">
        <w:rPr>
          <w:rFonts w:ascii="Verdana" w:hAnsi="Verdana"/>
          <w:sz w:val="20"/>
          <w:szCs w:val="20"/>
        </w:rPr>
        <w:t xml:space="preserve"> pourront être lancées au travers du </w:t>
      </w:r>
      <w:r w:rsidRPr="005A698B">
        <w:rPr>
          <w:rFonts w:ascii="Verdana" w:hAnsi="Verdana"/>
          <w:b/>
          <w:sz w:val="20"/>
          <w:szCs w:val="20"/>
        </w:rPr>
        <w:t>Fonds réactif emploi formation</w:t>
      </w:r>
      <w:r w:rsidRPr="005A698B">
        <w:rPr>
          <w:rFonts w:ascii="Verdana" w:hAnsi="Verdana"/>
          <w:sz w:val="20"/>
          <w:szCs w:val="20"/>
        </w:rPr>
        <w:t xml:space="preserve"> (FREF), pour répondre à des besoins nouveaux, expérimentaux ou ponctuels non identifiés dans la commande initiale.  </w:t>
      </w:r>
    </w:p>
    <w:p w:rsidR="00AF4E9F" w:rsidRPr="005A698B" w:rsidRDefault="00AF4E9F" w:rsidP="00AF4E9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5E9D" w:rsidRPr="007D6B91" w:rsidRDefault="00BE5E9D" w:rsidP="00727DC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7D6B91">
        <w:rPr>
          <w:rFonts w:ascii="Verdana" w:hAnsi="Verdana"/>
          <w:b/>
          <w:i/>
          <w:sz w:val="20"/>
          <w:szCs w:val="20"/>
        </w:rPr>
        <w:t xml:space="preserve">Vous voulez répondre à une consultation ? </w:t>
      </w:r>
    </w:p>
    <w:p w:rsidR="00BE5E9D" w:rsidRPr="007D6B91" w:rsidRDefault="00BE5E9D" w:rsidP="00727DC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le lancement d’une consultation d’achat de formation est publié au BOAMP/JOUE (inscription nécessaire sur ces sites pour obtenir l’information).</w:t>
      </w:r>
    </w:p>
    <w:p w:rsidR="00BE5E9D" w:rsidRPr="006D6ED2" w:rsidRDefault="00BE5E9D" w:rsidP="00727DC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La procédure de consultation est totalement dématérialisée, au travers de l’outil SAM (</w:t>
      </w:r>
      <w:hyperlink r:id="rId10" w:anchor="A147558" w:history="1">
        <w:r w:rsidR="008A1CA3">
          <w:rPr>
            <w:rStyle w:val="Lienhypertexte"/>
            <w:rFonts w:ascii="Verdana" w:hAnsi="Verdana"/>
            <w:sz w:val="20"/>
            <w:szCs w:val="20"/>
          </w:rPr>
          <w:t>présentation de l'outil SAM</w:t>
        </w:r>
      </w:hyperlink>
      <w:r w:rsidRPr="006D6ED2">
        <w:rPr>
          <w:rFonts w:ascii="Verdana" w:hAnsi="Verdana"/>
          <w:sz w:val="20"/>
          <w:szCs w:val="20"/>
        </w:rPr>
        <w:t xml:space="preserve">). Il est notamment nécessaire de disposer d’une signature électronique pour </w:t>
      </w:r>
      <w:r w:rsidR="006D6ED2">
        <w:rPr>
          <w:rFonts w:ascii="Verdana" w:hAnsi="Verdana"/>
          <w:sz w:val="20"/>
          <w:szCs w:val="20"/>
        </w:rPr>
        <w:t>signer</w:t>
      </w:r>
      <w:r w:rsidRPr="006D6ED2">
        <w:rPr>
          <w:rFonts w:ascii="Verdana" w:hAnsi="Verdana"/>
          <w:sz w:val="20"/>
          <w:szCs w:val="20"/>
        </w:rPr>
        <w:t xml:space="preserve"> les documents d’attribution du marché. </w:t>
      </w:r>
    </w:p>
    <w:p w:rsidR="00BE5E9D" w:rsidRPr="00042294" w:rsidRDefault="00BE5E9D" w:rsidP="00727DC8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D6B91" w:rsidRPr="007D6B91" w:rsidRDefault="00940A2D" w:rsidP="00727DC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2- </w:t>
      </w:r>
      <w:r w:rsidR="007D6B91" w:rsidRPr="007D6B91">
        <w:rPr>
          <w:rFonts w:ascii="Verdana" w:hAnsi="Verdana"/>
          <w:b/>
          <w:sz w:val="20"/>
          <w:szCs w:val="20"/>
          <w:u w:val="single"/>
        </w:rPr>
        <w:t xml:space="preserve">LES PARCOURS METIERS 2017-2020 </w:t>
      </w:r>
    </w:p>
    <w:p w:rsidR="007D6B91" w:rsidRPr="00042294" w:rsidRDefault="007D6B91" w:rsidP="00727DC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E5E9D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Les Parcours métiers (PM) sont destinés à favoriser l’accès ou le retour à l’emploi des demandeurs d’emploi et à répondre aux besoins de recrutement des entreprises. Ils visent prioritairement :</w:t>
      </w:r>
    </w:p>
    <w:p w:rsidR="00727DC8" w:rsidRPr="00042294" w:rsidRDefault="00727DC8" w:rsidP="00727DC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E5E9D" w:rsidRPr="007D6B91" w:rsidRDefault="00BE5E9D" w:rsidP="00727DC8">
      <w:pPr>
        <w:pStyle w:val="Paragraphedeliste"/>
        <w:numPr>
          <w:ilvl w:val="0"/>
          <w:numId w:val="8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L’obtention des 1ers niveaux de qualification correspondant aux niveaux d’employabilité repérés dans les entreprises de la région (niveau IV et V) ;</w:t>
      </w:r>
    </w:p>
    <w:p w:rsidR="00BE5E9D" w:rsidRPr="007D6B91" w:rsidRDefault="00BE5E9D" w:rsidP="00727DC8">
      <w:pPr>
        <w:pStyle w:val="Paragraphedeliste"/>
        <w:numPr>
          <w:ilvl w:val="0"/>
          <w:numId w:val="8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Le développement des connaissances et des compétences pour permettre aux personnes de faire évoluer leur parcours professionnel, d’accéder durablement à l’emploi et de mieux répondre aux évolutions du marché du travail.</w:t>
      </w:r>
    </w:p>
    <w:p w:rsidR="00BE5E9D" w:rsidRPr="00042294" w:rsidRDefault="00BE5E9D" w:rsidP="00727DC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E5E9D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 xml:space="preserve">Les Parcours métiers regroupent </w:t>
      </w:r>
      <w:r w:rsidRPr="007D6B91">
        <w:rPr>
          <w:rFonts w:ascii="Verdana" w:hAnsi="Verdana"/>
          <w:b/>
          <w:sz w:val="20"/>
          <w:szCs w:val="20"/>
        </w:rPr>
        <w:t>4 catégories d’actions de formation</w:t>
      </w:r>
      <w:r w:rsidRPr="007D6B91">
        <w:rPr>
          <w:rFonts w:ascii="Verdana" w:hAnsi="Verdana"/>
          <w:sz w:val="20"/>
          <w:szCs w:val="20"/>
        </w:rPr>
        <w:t xml:space="preserve">, qui permettent d’inscrire le demandeur d’emploi dans une </w:t>
      </w:r>
      <w:r w:rsidRPr="007D6B91">
        <w:rPr>
          <w:rFonts w:ascii="Verdana" w:hAnsi="Verdana"/>
          <w:b/>
          <w:sz w:val="20"/>
          <w:szCs w:val="20"/>
        </w:rPr>
        <w:t>logique de parcours</w:t>
      </w:r>
      <w:r w:rsidRPr="007D6B91">
        <w:rPr>
          <w:rFonts w:ascii="Verdana" w:hAnsi="Verdana"/>
          <w:sz w:val="20"/>
          <w:szCs w:val="20"/>
        </w:rPr>
        <w:t xml:space="preserve"> : </w:t>
      </w:r>
    </w:p>
    <w:p w:rsidR="00727DC8" w:rsidRPr="007D6B91" w:rsidRDefault="00727DC8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5E9D" w:rsidRPr="007D6B91" w:rsidRDefault="00BE5E9D" w:rsidP="00727DC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Élaborer un projet professionnel,</w:t>
      </w:r>
    </w:p>
    <w:p w:rsidR="00BE5E9D" w:rsidRPr="007D6B91" w:rsidRDefault="00BE5E9D" w:rsidP="00727DC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Acquérir les 1ers gestes professionnels du métier de ---,</w:t>
      </w:r>
    </w:p>
    <w:p w:rsidR="00BE5E9D" w:rsidRPr="007D6B91" w:rsidRDefault="00BE5E9D" w:rsidP="00727DC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Se préparer à créer ou reprendre une entreprise,</w:t>
      </w:r>
    </w:p>
    <w:p w:rsidR="00BE5E9D" w:rsidRDefault="00BE5E9D" w:rsidP="00727DC8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hAnsi="Verdana"/>
          <w:sz w:val="20"/>
          <w:szCs w:val="20"/>
        </w:rPr>
        <w:t>Se former au métier de ---.</w:t>
      </w:r>
    </w:p>
    <w:p w:rsidR="006D6ED2" w:rsidRPr="00042294" w:rsidRDefault="006D6ED2" w:rsidP="00727DC8">
      <w:pPr>
        <w:pStyle w:val="Paragraphedeliste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E5E9D" w:rsidRPr="006D6ED2" w:rsidRDefault="006D6ED2" w:rsidP="00727DC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6ED2">
        <w:rPr>
          <w:rFonts w:ascii="Verdana" w:hAnsi="Verdana"/>
          <w:b/>
          <w:i/>
          <w:sz w:val="20"/>
          <w:szCs w:val="20"/>
        </w:rPr>
        <w:t>Pour en savoir plus</w:t>
      </w:r>
      <w:r w:rsidRPr="006D6ED2">
        <w:rPr>
          <w:rFonts w:ascii="Verdana" w:hAnsi="Verdana"/>
          <w:sz w:val="20"/>
          <w:szCs w:val="20"/>
        </w:rPr>
        <w:t xml:space="preserve"> : </w:t>
      </w:r>
      <w:hyperlink r:id="rId11" w:history="1">
        <w:r w:rsidRPr="00883A4E">
          <w:rPr>
            <w:rStyle w:val="Lienhypertexte"/>
            <w:rFonts w:ascii="Verdana" w:hAnsi="Verdana"/>
            <w:sz w:val="20"/>
            <w:szCs w:val="20"/>
          </w:rPr>
          <w:t>Lien vers CCTAC PM</w:t>
        </w:r>
      </w:hyperlink>
      <w:r w:rsidRPr="006D6ED2">
        <w:rPr>
          <w:rFonts w:ascii="Verdana" w:hAnsi="Verdana"/>
          <w:sz w:val="20"/>
          <w:szCs w:val="20"/>
        </w:rPr>
        <w:t xml:space="preserve"> sur rubrique </w:t>
      </w:r>
      <w:r w:rsidR="007C6ED2">
        <w:rPr>
          <w:rFonts w:ascii="Verdana" w:hAnsi="Verdana"/>
          <w:sz w:val="20"/>
          <w:szCs w:val="20"/>
        </w:rPr>
        <w:t>Etoile</w:t>
      </w:r>
    </w:p>
    <w:p w:rsidR="006D6ED2" w:rsidRDefault="006D6ED2" w:rsidP="00727DC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7D6B91" w:rsidRPr="007D6B91" w:rsidRDefault="00940A2D" w:rsidP="00727DC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3- </w:t>
      </w:r>
      <w:r w:rsidR="007D6B91" w:rsidRPr="007D6B91">
        <w:rPr>
          <w:rFonts w:ascii="Verdana" w:hAnsi="Verdana"/>
          <w:b/>
          <w:sz w:val="20"/>
          <w:szCs w:val="20"/>
          <w:u w:val="single"/>
        </w:rPr>
        <w:t xml:space="preserve">LES VISAS LIBRES SAVOIRS 2017-2020 </w:t>
      </w:r>
    </w:p>
    <w:p w:rsidR="00BE5E9D" w:rsidRPr="00042294" w:rsidRDefault="00BE5E9D" w:rsidP="00727DC8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zh-TW"/>
        </w:rPr>
      </w:pPr>
    </w:p>
    <w:p w:rsidR="00BE5E9D" w:rsidRDefault="00BE5E9D" w:rsidP="00727D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6D6ED2">
        <w:rPr>
          <w:rFonts w:ascii="Verdana" w:eastAsia="Times New Roman" w:hAnsi="Verdana" w:cs="Times New Roman"/>
          <w:sz w:val="20"/>
          <w:szCs w:val="20"/>
          <w:lang w:eastAsia="zh-TW"/>
        </w:rPr>
        <w:t xml:space="preserve">Pour les Visas Libres Savoirs, </w:t>
      </w: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la commande tient compte plus particulièrement des évolutions suivantes :</w:t>
      </w:r>
      <w:r w:rsidR="006D6ED2">
        <w:rPr>
          <w:rFonts w:ascii="Verdana" w:eastAsia="Times New Roman" w:hAnsi="Verdana" w:cs="Times New Roman"/>
          <w:sz w:val="20"/>
          <w:szCs w:val="20"/>
          <w:lang w:eastAsia="zh-TW"/>
        </w:rPr>
        <w:t xml:space="preserve"> </w:t>
      </w:r>
    </w:p>
    <w:p w:rsidR="00727DC8" w:rsidRPr="00042294" w:rsidRDefault="00727DC8" w:rsidP="00727DC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zh-TW"/>
        </w:rPr>
      </w:pPr>
    </w:p>
    <w:p w:rsidR="00BE5E9D" w:rsidRPr="006D6ED2" w:rsidRDefault="00BE5E9D" w:rsidP="00727D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 xml:space="preserve">la loi du 5 mars 2014 </w:t>
      </w:r>
      <w:r w:rsidRPr="006D6ED2">
        <w:rPr>
          <w:rFonts w:ascii="Verdana" w:eastAsia="Times New Roman" w:hAnsi="Verdana" w:cs="Times New Roman"/>
          <w:sz w:val="20"/>
          <w:szCs w:val="20"/>
          <w:lang w:eastAsia="zh-TW"/>
        </w:rPr>
        <w:t>relative à la formation professionnelle, à l’emploi et à la démocratie sociale et le rôle accru des Régions en matière d’illettrisme,</w:t>
      </w:r>
    </w:p>
    <w:p w:rsidR="00BE5E9D" w:rsidRPr="006D6ED2" w:rsidRDefault="00BE5E9D" w:rsidP="00727D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6D6ED2">
        <w:rPr>
          <w:rFonts w:ascii="Verdana" w:eastAsia="Times New Roman" w:hAnsi="Verdana" w:cs="Times New Roman"/>
          <w:sz w:val="20"/>
          <w:szCs w:val="20"/>
          <w:lang w:eastAsia="zh-TW"/>
        </w:rPr>
        <w:t>le décret du 13 février 2015, proposé par les partenaires sociaux, prévoyant la mise en œuvre de CLEA (socle de connaissances et compétences professionnelles éligible au Compte Personnel de Formation),</w:t>
      </w:r>
    </w:p>
    <w:p w:rsidR="00BE5E9D" w:rsidRPr="006D6ED2" w:rsidRDefault="00BE5E9D" w:rsidP="00727DC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6D6ED2">
        <w:rPr>
          <w:rFonts w:ascii="Verdana" w:eastAsia="Times New Roman" w:hAnsi="Verdana" w:cs="Times New Roman"/>
          <w:sz w:val="20"/>
          <w:szCs w:val="20"/>
          <w:lang w:eastAsia="zh-TW"/>
        </w:rPr>
        <w:t>l’augmentation du nombre de demandeurs d’emplois, requérant une ouverture encore plus probante des actions Savoirs de base vers le monde professionnel ou vers un accès à la formation qualifiante.</w:t>
      </w:r>
    </w:p>
    <w:p w:rsidR="00BE5E9D" w:rsidRPr="00042294" w:rsidRDefault="00BE5E9D" w:rsidP="00727DC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zh-TW"/>
        </w:rPr>
      </w:pPr>
    </w:p>
    <w:p w:rsidR="006D6ED2" w:rsidRDefault="00BE5E9D" w:rsidP="00727DC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 xml:space="preserve">De ce fait, </w:t>
      </w:r>
      <w:r w:rsidR="006D6ED2">
        <w:rPr>
          <w:rFonts w:ascii="Verdana" w:eastAsia="Times New Roman" w:hAnsi="Verdana" w:cs="Times New Roman"/>
          <w:sz w:val="20"/>
          <w:szCs w:val="20"/>
          <w:lang w:eastAsia="zh-TW"/>
        </w:rPr>
        <w:t xml:space="preserve">5 Visas sont mis en place </w:t>
      </w: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à compter du 1</w:t>
      </w:r>
      <w:r w:rsidRPr="007D6B91">
        <w:rPr>
          <w:rFonts w:ascii="Verdana" w:eastAsia="Times New Roman" w:hAnsi="Verdana" w:cs="Times New Roman"/>
          <w:sz w:val="20"/>
          <w:szCs w:val="20"/>
          <w:vertAlign w:val="superscript"/>
          <w:lang w:eastAsia="zh-TW"/>
        </w:rPr>
        <w:t>er</w:t>
      </w: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 xml:space="preserve"> janvier 2017</w:t>
      </w:r>
      <w:r w:rsidR="006D6ED2">
        <w:rPr>
          <w:rFonts w:ascii="Verdana" w:eastAsia="Times New Roman" w:hAnsi="Verdana" w:cs="Times New Roman"/>
          <w:sz w:val="20"/>
          <w:szCs w:val="20"/>
          <w:lang w:eastAsia="zh-TW"/>
        </w:rPr>
        <w:t xml:space="preserve"> </w:t>
      </w:r>
      <w:r w:rsidRPr="007D6B91">
        <w:rPr>
          <w:rFonts w:ascii="Verdana" w:hAnsi="Verdana"/>
          <w:sz w:val="20"/>
          <w:szCs w:val="20"/>
        </w:rPr>
        <w:t xml:space="preserve">: </w:t>
      </w:r>
    </w:p>
    <w:p w:rsidR="00727DC8" w:rsidRPr="00042294" w:rsidRDefault="00727DC8" w:rsidP="00727DC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E5E9D" w:rsidRPr="006D6ED2" w:rsidRDefault="00BE5E9D" w:rsidP="00727DC8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6D6ED2">
        <w:rPr>
          <w:rFonts w:ascii="Verdana" w:eastAsia="Times New Roman" w:hAnsi="Verdana" w:cs="Times New Roman"/>
          <w:sz w:val="20"/>
          <w:szCs w:val="20"/>
          <w:lang w:eastAsia="zh-TW"/>
        </w:rPr>
        <w:t>Visa Trois en Un (Lire, Écrire et Compter),</w:t>
      </w:r>
    </w:p>
    <w:p w:rsidR="00BE5E9D" w:rsidRPr="007D6B91" w:rsidRDefault="00BE5E9D" w:rsidP="00727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Visa PRO Numérique,</w:t>
      </w:r>
    </w:p>
    <w:p w:rsidR="00BE5E9D" w:rsidRPr="007D6B91" w:rsidRDefault="00BE5E9D" w:rsidP="00727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Visa Compétences Professionnelles,</w:t>
      </w:r>
    </w:p>
    <w:p w:rsidR="00BE5E9D" w:rsidRPr="007D6B91" w:rsidRDefault="00BE5E9D" w:rsidP="00727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Visa Eco-Citoyen (Hygiène, sécurité et environnement),</w:t>
      </w:r>
    </w:p>
    <w:p w:rsidR="00BE5E9D" w:rsidRPr="007D6B91" w:rsidRDefault="00BE5E9D" w:rsidP="00727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 xml:space="preserve">Visa Anglais ou Langues </w:t>
      </w:r>
      <w:proofErr w:type="gramStart"/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PRO(</w:t>
      </w:r>
      <w:proofErr w:type="spellStart"/>
      <w:proofErr w:type="gramEnd"/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fessionnel</w:t>
      </w:r>
      <w:proofErr w:type="spellEnd"/>
      <w:r w:rsidRPr="007D6B91">
        <w:rPr>
          <w:rFonts w:ascii="Verdana" w:eastAsia="Times New Roman" w:hAnsi="Verdana" w:cs="Times New Roman"/>
          <w:sz w:val="20"/>
          <w:szCs w:val="20"/>
          <w:lang w:eastAsia="zh-TW"/>
        </w:rPr>
        <w:t>).</w:t>
      </w:r>
    </w:p>
    <w:p w:rsidR="00BE5E9D" w:rsidRPr="00042294" w:rsidRDefault="00BE5E9D" w:rsidP="00727DC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zh-TW"/>
        </w:rPr>
      </w:pPr>
    </w:p>
    <w:p w:rsidR="00727DC8" w:rsidRPr="007D6B91" w:rsidRDefault="00883A4E" w:rsidP="00727DC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TW"/>
        </w:rPr>
      </w:pPr>
      <w:r w:rsidRPr="007D6B91">
        <w:rPr>
          <w:rFonts w:ascii="Verdana" w:eastAsia="Times New Roman" w:hAnsi="Verdana" w:cs="Times New Roman"/>
          <w:b/>
          <w:sz w:val="20"/>
          <w:szCs w:val="20"/>
          <w:lang w:eastAsia="zh-TW"/>
        </w:rPr>
        <w:t>L</w:t>
      </w:r>
      <w:r w:rsidR="00BE5E9D" w:rsidRPr="007D6B91">
        <w:rPr>
          <w:rFonts w:ascii="Verdana" w:eastAsia="Times New Roman" w:hAnsi="Verdana" w:cs="Times New Roman"/>
          <w:b/>
          <w:sz w:val="20"/>
          <w:szCs w:val="20"/>
          <w:lang w:eastAsia="zh-TW"/>
        </w:rPr>
        <w:t>es publics visés seront prioritairement des demandeurs d’emploi puis des salariés</w:t>
      </w:r>
      <w:r w:rsidR="00BE5E9D" w:rsidRPr="007D6B91">
        <w:rPr>
          <w:rFonts w:ascii="Verdana" w:eastAsia="Times New Roman" w:hAnsi="Verdana" w:cs="Times New Roman"/>
          <w:sz w:val="20"/>
          <w:szCs w:val="20"/>
          <w:lang w:eastAsia="zh-TW"/>
        </w:rPr>
        <w:t>.</w:t>
      </w:r>
    </w:p>
    <w:p w:rsidR="007D6B91" w:rsidRPr="006D6ED2" w:rsidRDefault="006D6ED2" w:rsidP="00727DC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zh-TW"/>
        </w:rPr>
      </w:pPr>
      <w:r w:rsidRPr="006D6ED2">
        <w:rPr>
          <w:rFonts w:ascii="Verdana" w:hAnsi="Verdana"/>
          <w:b/>
          <w:i/>
          <w:sz w:val="20"/>
          <w:szCs w:val="20"/>
        </w:rPr>
        <w:t>Pour en savoir plus</w:t>
      </w:r>
      <w:r w:rsidRPr="006D6ED2">
        <w:rPr>
          <w:rFonts w:ascii="Verdana" w:hAnsi="Verdana"/>
          <w:sz w:val="20"/>
          <w:szCs w:val="20"/>
        </w:rPr>
        <w:t xml:space="preserve"> : </w:t>
      </w:r>
      <w:r w:rsidRPr="006D6ED2">
        <w:rPr>
          <w:rFonts w:ascii="Verdana" w:hAnsi="Verdana"/>
          <w:sz w:val="20"/>
          <w:szCs w:val="20"/>
          <w:highlight w:val="lightGray"/>
        </w:rPr>
        <w:t>Lien vers CCTAC Visas</w:t>
      </w:r>
      <w:r w:rsidRPr="006D6ED2">
        <w:rPr>
          <w:rFonts w:ascii="Verdana" w:hAnsi="Verdana"/>
          <w:sz w:val="20"/>
          <w:szCs w:val="20"/>
        </w:rPr>
        <w:t xml:space="preserve"> sur rubrique </w:t>
      </w:r>
      <w:r w:rsidR="007C6ED2" w:rsidRPr="006D6ED2">
        <w:rPr>
          <w:rFonts w:ascii="Verdana" w:hAnsi="Verdana"/>
          <w:sz w:val="20"/>
          <w:szCs w:val="20"/>
        </w:rPr>
        <w:t>Etoile</w:t>
      </w:r>
      <w:bookmarkStart w:id="0" w:name="_GoBack"/>
      <w:bookmarkEnd w:id="0"/>
      <w:r w:rsidRPr="006D6ED2">
        <w:rPr>
          <w:rFonts w:ascii="Verdana" w:hAnsi="Verdana"/>
          <w:sz w:val="20"/>
          <w:szCs w:val="20"/>
        </w:rPr>
        <w:t>.</w:t>
      </w:r>
    </w:p>
    <w:sectPr w:rsidR="007D6B91" w:rsidRPr="006D6ED2" w:rsidSect="00320A7B">
      <w:headerReference w:type="default" r:id="rId12"/>
      <w:footerReference w:type="default" r:id="rId13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FA" w:rsidRDefault="009248FA" w:rsidP="00D275F5">
      <w:pPr>
        <w:spacing w:after="0" w:line="240" w:lineRule="auto"/>
      </w:pPr>
      <w:r>
        <w:separator/>
      </w:r>
    </w:p>
  </w:endnote>
  <w:endnote w:type="continuationSeparator" w:id="0">
    <w:p w:rsidR="009248FA" w:rsidRDefault="009248FA" w:rsidP="00D2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166535"/>
      <w:docPartObj>
        <w:docPartGallery w:val="Page Numbers (Bottom of Page)"/>
        <w:docPartUnique/>
      </w:docPartObj>
    </w:sdtPr>
    <w:sdtEndPr/>
    <w:sdtContent>
      <w:p w:rsidR="00320A7B" w:rsidRDefault="00320A7B" w:rsidP="00320A7B">
        <w:pPr>
          <w:pStyle w:val="Pieddepage"/>
          <w:jc w:val="right"/>
          <w:rPr>
            <w:sz w:val="14"/>
          </w:rPr>
        </w:pPr>
        <w:r>
          <w:rPr>
            <w:sz w:val="14"/>
          </w:rPr>
          <w:t xml:space="preserve">Programme Régional de Formation 2017-2020 - p. </w:t>
        </w:r>
        <w:sdt>
          <w:sdtPr>
            <w:rPr>
              <w:sz w:val="14"/>
            </w:rPr>
            <w:id w:val="904345978"/>
            <w:docPartObj>
              <w:docPartGallery w:val="Page Numbers (Bottom of Page)"/>
              <w:docPartUnique/>
            </w:docPartObj>
          </w:sdtPr>
          <w:sdtEndPr/>
          <w:sdtContent>
            <w:r w:rsidRPr="002A0D34">
              <w:rPr>
                <w:sz w:val="14"/>
              </w:rPr>
              <w:fldChar w:fldCharType="begin"/>
            </w:r>
            <w:r w:rsidRPr="002A0D34">
              <w:rPr>
                <w:sz w:val="14"/>
              </w:rPr>
              <w:instrText>PAGE   \* MERGEFORMAT</w:instrText>
            </w:r>
            <w:r w:rsidRPr="002A0D34">
              <w:rPr>
                <w:sz w:val="14"/>
              </w:rPr>
              <w:fldChar w:fldCharType="separate"/>
            </w:r>
            <w:r w:rsidR="007C6ED2">
              <w:rPr>
                <w:noProof/>
                <w:sz w:val="14"/>
              </w:rPr>
              <w:t>1</w:t>
            </w:r>
            <w:r w:rsidRPr="002A0D34">
              <w:rPr>
                <w:sz w:val="14"/>
              </w:rPr>
              <w:fldChar w:fldCharType="end"/>
            </w:r>
          </w:sdtContent>
        </w:sdt>
      </w:p>
      <w:p w:rsidR="005842E0" w:rsidRDefault="007C6ED2">
        <w:pPr>
          <w:pStyle w:val="Pieddepage"/>
          <w:jc w:val="right"/>
        </w:pPr>
      </w:p>
    </w:sdtContent>
  </w:sdt>
  <w:p w:rsidR="005842E0" w:rsidRDefault="005842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FA" w:rsidRDefault="009248FA" w:rsidP="00D275F5">
      <w:pPr>
        <w:spacing w:after="0" w:line="240" w:lineRule="auto"/>
      </w:pPr>
      <w:r>
        <w:separator/>
      </w:r>
    </w:p>
  </w:footnote>
  <w:footnote w:type="continuationSeparator" w:id="0">
    <w:p w:rsidR="009248FA" w:rsidRDefault="009248FA" w:rsidP="00D2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1"/>
      <w:gridCol w:w="7688"/>
    </w:tblGrid>
    <w:tr w:rsidR="00042294" w:rsidTr="00042294">
      <w:tc>
        <w:tcPr>
          <w:tcW w:w="2201" w:type="dxa"/>
        </w:tcPr>
        <w:p w:rsidR="00042294" w:rsidRDefault="00042294" w:rsidP="00CF39CE">
          <w:r>
            <w:rPr>
              <w:noProof/>
              <w:lang w:eastAsia="fr-FR"/>
            </w:rPr>
            <w:drawing>
              <wp:inline distT="0" distB="0" distL="0" distR="0" wp14:anchorId="0DC22AE4" wp14:editId="6CF42F96">
                <wp:extent cx="838200" cy="618979"/>
                <wp:effectExtent l="0" t="0" r="0" b="0"/>
                <wp:docPr id="1" name="Image 1" descr="Région Centre-Val de Lo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Région Centre-Val de Loi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90" r="101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004" cy="62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042294" w:rsidRPr="00321868" w:rsidRDefault="00042294" w:rsidP="00042294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8"/>
            </w:rPr>
          </w:pPr>
          <w:r w:rsidRPr="00321868">
            <w:rPr>
              <w:rFonts w:ascii="Verdana" w:hAnsi="Verdana"/>
              <w:color w:val="808080" w:themeColor="background1" w:themeShade="80"/>
              <w:sz w:val="28"/>
            </w:rPr>
            <w:t xml:space="preserve">FICHE TECHNIQUE </w:t>
          </w:r>
        </w:p>
        <w:p w:rsidR="00042294" w:rsidRDefault="00042294" w:rsidP="00042294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32"/>
            </w:rPr>
          </w:pPr>
          <w:r w:rsidRPr="00624CB9">
            <w:rPr>
              <w:rFonts w:ascii="Verdana" w:hAnsi="Verdana"/>
              <w:color w:val="808080" w:themeColor="background1" w:themeShade="80"/>
              <w:sz w:val="32"/>
            </w:rPr>
            <w:t>« </w:t>
          </w:r>
          <w:r>
            <w:rPr>
              <w:rFonts w:ascii="Verdana" w:hAnsi="Verdana"/>
              <w:color w:val="808080" w:themeColor="background1" w:themeShade="80"/>
              <w:sz w:val="32"/>
            </w:rPr>
            <w:t xml:space="preserve">ACHAT DE FORMATION </w:t>
          </w:r>
          <w:r w:rsidRPr="007D6B91">
            <w:rPr>
              <w:rFonts w:ascii="Verdana" w:hAnsi="Verdana"/>
              <w:color w:val="808080" w:themeColor="background1" w:themeShade="80"/>
              <w:sz w:val="28"/>
            </w:rPr>
            <w:t xml:space="preserve">2017-2020 </w:t>
          </w:r>
          <w:r w:rsidRPr="00624CB9">
            <w:rPr>
              <w:rFonts w:ascii="Verdana" w:hAnsi="Verdana"/>
              <w:color w:val="808080" w:themeColor="background1" w:themeShade="80"/>
              <w:sz w:val="32"/>
            </w:rPr>
            <w:t>»</w:t>
          </w:r>
        </w:p>
        <w:p w:rsidR="00F77AEB" w:rsidRPr="00320A7B" w:rsidRDefault="00F77AEB" w:rsidP="00F77AEB">
          <w:pPr>
            <w:pStyle w:val="En-tte"/>
            <w:jc w:val="center"/>
            <w:rPr>
              <w:rFonts w:ascii="Verdana" w:hAnsi="Verdana"/>
              <w:i/>
              <w:color w:val="808080" w:themeColor="background1" w:themeShade="80"/>
              <w:sz w:val="24"/>
              <w:szCs w:val="24"/>
            </w:rPr>
          </w:pPr>
          <w:r w:rsidRPr="00320A7B">
            <w:rPr>
              <w:rFonts w:ascii="Verdana" w:hAnsi="Verdana"/>
              <w:i/>
              <w:color w:val="808080" w:themeColor="background1" w:themeShade="80"/>
              <w:sz w:val="24"/>
              <w:szCs w:val="24"/>
            </w:rPr>
            <w:t>Parcours métiers et Visas</w:t>
          </w:r>
        </w:p>
        <w:p w:rsidR="00042294" w:rsidRPr="00042294" w:rsidRDefault="00F77AEB" w:rsidP="00883A4E">
          <w:pPr>
            <w:pStyle w:val="En-tte"/>
            <w:jc w:val="center"/>
            <w:rPr>
              <w:rFonts w:ascii="Verdana" w:hAnsi="Verdana"/>
              <w:color w:val="808080" w:themeColor="background1" w:themeShade="80"/>
              <w:sz w:val="20"/>
            </w:rPr>
          </w:pPr>
          <w:r>
            <w:rPr>
              <w:rFonts w:ascii="Verdana" w:hAnsi="Verdana"/>
              <w:color w:val="808080" w:themeColor="background1" w:themeShade="80"/>
              <w:sz w:val="20"/>
            </w:rPr>
            <w:t xml:space="preserve">version </w:t>
          </w:r>
          <w:r w:rsidR="00883A4E">
            <w:rPr>
              <w:rFonts w:ascii="Verdana" w:hAnsi="Verdana"/>
              <w:color w:val="808080" w:themeColor="background1" w:themeShade="80"/>
              <w:sz w:val="20"/>
            </w:rPr>
            <w:t>novembre 2017</w:t>
          </w:r>
        </w:p>
      </w:tc>
    </w:tr>
  </w:tbl>
  <w:p w:rsidR="00042294" w:rsidRPr="00465CB0" w:rsidRDefault="00042294" w:rsidP="00320A7B">
    <w:pPr>
      <w:pStyle w:val="En-tte"/>
      <w:rPr>
        <w:rFonts w:ascii="Verdana" w:hAnsi="Verdana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CAF"/>
    <w:multiLevelType w:val="hybridMultilevel"/>
    <w:tmpl w:val="C7021964"/>
    <w:lvl w:ilvl="0" w:tplc="E36A08AA">
      <w:start w:val="8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23444"/>
    <w:multiLevelType w:val="hybridMultilevel"/>
    <w:tmpl w:val="95AA3770"/>
    <w:lvl w:ilvl="0" w:tplc="3DB234AA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E80"/>
    <w:multiLevelType w:val="hybridMultilevel"/>
    <w:tmpl w:val="21F624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1B34"/>
    <w:multiLevelType w:val="hybridMultilevel"/>
    <w:tmpl w:val="581245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25D8A"/>
    <w:multiLevelType w:val="hybridMultilevel"/>
    <w:tmpl w:val="08526E64"/>
    <w:lvl w:ilvl="0" w:tplc="9C1EA3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F39D0"/>
    <w:multiLevelType w:val="hybridMultilevel"/>
    <w:tmpl w:val="58F0463A"/>
    <w:lvl w:ilvl="0" w:tplc="B78863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0094B"/>
    <w:multiLevelType w:val="hybridMultilevel"/>
    <w:tmpl w:val="4D40FE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E269B"/>
    <w:multiLevelType w:val="hybridMultilevel"/>
    <w:tmpl w:val="F97A55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F5B08"/>
    <w:multiLevelType w:val="hybridMultilevel"/>
    <w:tmpl w:val="1744CC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92B9D"/>
    <w:multiLevelType w:val="hybridMultilevel"/>
    <w:tmpl w:val="7212B9A8"/>
    <w:lvl w:ilvl="0" w:tplc="22103E8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43FA"/>
    <w:multiLevelType w:val="hybridMultilevel"/>
    <w:tmpl w:val="348438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116F4"/>
    <w:multiLevelType w:val="hybridMultilevel"/>
    <w:tmpl w:val="CD724B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96D48"/>
    <w:multiLevelType w:val="hybridMultilevel"/>
    <w:tmpl w:val="6DF6EB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85BD4"/>
    <w:multiLevelType w:val="hybridMultilevel"/>
    <w:tmpl w:val="18DC0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17058"/>
    <w:multiLevelType w:val="hybridMultilevel"/>
    <w:tmpl w:val="5F92D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11749"/>
    <w:multiLevelType w:val="hybridMultilevel"/>
    <w:tmpl w:val="E9A28BE0"/>
    <w:lvl w:ilvl="0" w:tplc="2B8E6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AB"/>
    <w:rsid w:val="00032F65"/>
    <w:rsid w:val="00042294"/>
    <w:rsid w:val="00062011"/>
    <w:rsid w:val="00087839"/>
    <w:rsid w:val="000A72B6"/>
    <w:rsid w:val="001351E7"/>
    <w:rsid w:val="00164A82"/>
    <w:rsid w:val="00203D54"/>
    <w:rsid w:val="002214EE"/>
    <w:rsid w:val="002554B7"/>
    <w:rsid w:val="002644F4"/>
    <w:rsid w:val="002951FD"/>
    <w:rsid w:val="002F729A"/>
    <w:rsid w:val="00320A7B"/>
    <w:rsid w:val="00321868"/>
    <w:rsid w:val="00371083"/>
    <w:rsid w:val="003B2568"/>
    <w:rsid w:val="00405694"/>
    <w:rsid w:val="004060A3"/>
    <w:rsid w:val="0043673A"/>
    <w:rsid w:val="004560D5"/>
    <w:rsid w:val="00465CB0"/>
    <w:rsid w:val="00470E9B"/>
    <w:rsid w:val="0047205A"/>
    <w:rsid w:val="0058357D"/>
    <w:rsid w:val="005842E0"/>
    <w:rsid w:val="005A7D15"/>
    <w:rsid w:val="005B2804"/>
    <w:rsid w:val="005F21FD"/>
    <w:rsid w:val="00624CB9"/>
    <w:rsid w:val="00634CA7"/>
    <w:rsid w:val="006A57D0"/>
    <w:rsid w:val="006D6ED2"/>
    <w:rsid w:val="006E74DA"/>
    <w:rsid w:val="00727DC8"/>
    <w:rsid w:val="007942FF"/>
    <w:rsid w:val="007A2DF0"/>
    <w:rsid w:val="007C6ED2"/>
    <w:rsid w:val="007D6B91"/>
    <w:rsid w:val="007E5F1A"/>
    <w:rsid w:val="00883A4E"/>
    <w:rsid w:val="008A1CA3"/>
    <w:rsid w:val="008A77DF"/>
    <w:rsid w:val="008C5C1A"/>
    <w:rsid w:val="009248FA"/>
    <w:rsid w:val="00940A2D"/>
    <w:rsid w:val="00A17528"/>
    <w:rsid w:val="00AF4E9F"/>
    <w:rsid w:val="00AF71CC"/>
    <w:rsid w:val="00BE5E9D"/>
    <w:rsid w:val="00C66229"/>
    <w:rsid w:val="00CD6FC4"/>
    <w:rsid w:val="00CF7669"/>
    <w:rsid w:val="00D07BAB"/>
    <w:rsid w:val="00D17053"/>
    <w:rsid w:val="00D21061"/>
    <w:rsid w:val="00D275F5"/>
    <w:rsid w:val="00D918A5"/>
    <w:rsid w:val="00DA0F4F"/>
    <w:rsid w:val="00DF5FA9"/>
    <w:rsid w:val="00E234BD"/>
    <w:rsid w:val="00EE0FD8"/>
    <w:rsid w:val="00F05070"/>
    <w:rsid w:val="00F77AEB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A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07BAB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D07B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7BA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5F5"/>
  </w:style>
  <w:style w:type="paragraph" w:styleId="Pieddepage">
    <w:name w:val="footer"/>
    <w:basedOn w:val="Normal"/>
    <w:link w:val="Pieddepag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5F5"/>
  </w:style>
  <w:style w:type="paragraph" w:styleId="Paragraphedeliste">
    <w:name w:val="List Paragraph"/>
    <w:basedOn w:val="Normal"/>
    <w:uiPriority w:val="34"/>
    <w:qFormat/>
    <w:rsid w:val="008A77D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2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2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42E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6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A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D07BAB"/>
    <w:pPr>
      <w:keepLines/>
      <w:tabs>
        <w:tab w:val="left" w:pos="284"/>
        <w:tab w:val="left" w:pos="567"/>
        <w:tab w:val="left" w:pos="851"/>
      </w:tabs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D07BA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07BA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5F5"/>
  </w:style>
  <w:style w:type="paragraph" w:styleId="Pieddepage">
    <w:name w:val="footer"/>
    <w:basedOn w:val="Normal"/>
    <w:link w:val="PieddepageCar"/>
    <w:uiPriority w:val="99"/>
    <w:unhideWhenUsed/>
    <w:rsid w:val="00D27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5F5"/>
  </w:style>
  <w:style w:type="paragraph" w:styleId="Paragraphedeliste">
    <w:name w:val="List Paragraph"/>
    <w:basedOn w:val="Normal"/>
    <w:uiPriority w:val="34"/>
    <w:qFormat/>
    <w:rsid w:val="008A77D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2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2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42E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6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oile.regioncentre.fr/webdav/site/etoilepro/shared/Upload/Formation_metiers/Ressources_OF/2017/PM_2017_CCTAC_modificatif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toile.regioncentre.fr/GIP/site/etoilepro/accueiletoilepro/formationmetiers/ressources-pour-organismes-prescripteurs-formation/breves-rubrique-pour-of/region-centre-val-loire-va-lancer-consultations-pour-achats-formation-professionnel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oile.regioncentre.fr/webdav/site/etoile/shared/Upload/s_orienter/s_orienter_dans%20sa_vie_pro/fiche_cheque_formation_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2FE4-B5AB-4EDB-A928-FB18B5EF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BLAIZEAU</dc:creator>
  <cp:lastModifiedBy>Samuel BLAIZEAU</cp:lastModifiedBy>
  <cp:revision>8</cp:revision>
  <cp:lastPrinted>2016-11-24T18:05:00Z</cp:lastPrinted>
  <dcterms:created xsi:type="dcterms:W3CDTF">2016-12-20T09:07:00Z</dcterms:created>
  <dcterms:modified xsi:type="dcterms:W3CDTF">2017-12-08T10:57:00Z</dcterms:modified>
</cp:coreProperties>
</file>